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00BD59B" w14:textId="77777777" w:rsidR="00D81D9B" w:rsidRPr="00CB7EA5"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lastRenderedPageBreak/>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0B987092" w14:textId="77777777" w:rsidR="00D81D9B" w:rsidRPr="009F08CA" w:rsidRDefault="00D81D9B" w:rsidP="009F08CA">
      <w:pPr>
        <w:widowControl w:val="0"/>
        <w:spacing w:after="0" w:line="240" w:lineRule="auto"/>
        <w:contextualSpacing/>
        <w:jc w:val="both"/>
        <w:rPr>
          <w:rFonts w:eastAsia="Times New Roman" w:cstheme="minorHAnsi"/>
          <w:b/>
          <w:bCs/>
          <w:kern w:val="0"/>
          <w:sz w:val="24"/>
          <w:szCs w:val="24"/>
          <w:lang w:val="ro-RO" w:eastAsia="ro-RO"/>
          <w14:ligatures w14:val="none"/>
        </w:rPr>
      </w:pPr>
      <w:r w:rsidRPr="009F08CA">
        <w:rPr>
          <w:rFonts w:eastAsia="Times New Roman" w:cstheme="minorHAnsi"/>
          <w:b/>
          <w:bCs/>
          <w:kern w:val="0"/>
          <w:sz w:val="24"/>
          <w:szCs w:val="24"/>
          <w:lang w:val="ro-RO" w:eastAsia="ro-RO"/>
          <w14:ligatures w14:val="none"/>
        </w:rPr>
        <w:t>Art. 15 -  Condiții specifice aplicabile apelului</w:t>
      </w:r>
    </w:p>
    <w:p w14:paraId="3A3FF4B0" w14:textId="77777777" w:rsidR="00F24EF4" w:rsidRDefault="00F24EF4"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6594E233" w14:textId="31DE608B" w:rsidR="00677B99" w:rsidRDefault="005B2181"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9F08CA">
        <w:rPr>
          <w:rFonts w:eastAsia="Courier New" w:cstheme="minorHAnsi"/>
          <w:kern w:val="0"/>
          <w:lang w:eastAsia="ro-RO"/>
          <w14:ligatures w14:val="none"/>
        </w:rPr>
        <w:t>Beneficiarul se angajează să implementeze proiectele pe propria răspundere, în favoarea Asociaţiilor de proprietari reprezentând blocurile de locuinţe prevăzute în Cererea de finanțare, în conformitate cu prevederile cuprinse în prezentul Contract.</w:t>
      </w:r>
    </w:p>
    <w:p w14:paraId="66509CB4" w14:textId="77777777" w:rsidR="0050325C" w:rsidRPr="0050325C" w:rsidRDefault="0050325C" w:rsidP="0050325C">
      <w:pPr>
        <w:pStyle w:val="ListParagraph"/>
        <w:spacing w:before="120"/>
        <w:ind w:left="786"/>
        <w:contextualSpacing/>
        <w:jc w:val="both"/>
        <w:rPr>
          <w:rFonts w:eastAsia="Courier New" w:cstheme="minorHAnsi"/>
          <w:kern w:val="0"/>
          <w:lang w:eastAsia="ro-RO"/>
          <w14:ligatures w14:val="none"/>
        </w:rPr>
      </w:pPr>
    </w:p>
    <w:p w14:paraId="47D7B61F" w14:textId="012BAE45" w:rsidR="00677B99" w:rsidRDefault="005B2181"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9F08CA">
        <w:rPr>
          <w:rFonts w:eastAsia="Courier New" w:cstheme="minorHAnsi"/>
          <w:kern w:val="0"/>
          <w:lang w:eastAsia="ro-RO"/>
          <w14:ligatures w14:val="none"/>
        </w:rPr>
        <w:t>Beneficiarul se obligă să verifice respectarea de către asociaţiile de proprietari a obligaţiei de întreţinere a infrastructurii create/reabilitate/amenajate/ modernizate/ extinse, pe perioada de durabilitate prevăzută la art. 2 alin (5) din Condiții generale</w:t>
      </w:r>
    </w:p>
    <w:p w14:paraId="20529538" w14:textId="77777777" w:rsidR="0050325C" w:rsidRPr="0050325C" w:rsidRDefault="0050325C" w:rsidP="0050325C">
      <w:pPr>
        <w:spacing w:before="120"/>
        <w:contextualSpacing/>
        <w:jc w:val="both"/>
        <w:rPr>
          <w:rFonts w:eastAsia="Courier New" w:cstheme="minorHAnsi"/>
          <w:kern w:val="0"/>
          <w:lang w:eastAsia="ro-RO"/>
          <w14:ligatures w14:val="none"/>
        </w:rPr>
      </w:pPr>
    </w:p>
    <w:p w14:paraId="38BD1C7F" w14:textId="77777777" w:rsidR="00EC6455" w:rsidRPr="009F08CA" w:rsidRDefault="00EC6455"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9F08CA">
        <w:rPr>
          <w:rFonts w:eastAsia="Courier New" w:cstheme="minorHAnsi"/>
          <w:kern w:val="0"/>
          <w:lang w:eastAsia="ro-RO"/>
          <w14:ligatures w14:val="none"/>
        </w:rPr>
        <w:t>Finanțarea nerambursabilă acordată în cadrul acestei Intervenții regionale, nu afectează dreptul proprietarilor apartamentelor de a înstrăina sub orice formă, apartamentele/locuințele și cota indiviză aferentă acestora din proprietatea comună din cadrul blocurilor reabilitate, oricând până la finalizarea perioadei de durabilitate stabilită la art. 2, alin. (5), din Condițiile generale cu respectarea cumulativ a următoarelor condiții:</w:t>
      </w:r>
    </w:p>
    <w:p w14:paraId="49FAFAB8" w14:textId="2673E253" w:rsidR="00EC6455" w:rsidRPr="009F08CA" w:rsidRDefault="00EC6455" w:rsidP="00EC6455">
      <w:pPr>
        <w:pStyle w:val="ListParagraph"/>
        <w:numPr>
          <w:ilvl w:val="0"/>
          <w:numId w:val="8"/>
        </w:numPr>
        <w:spacing w:before="120"/>
        <w:contextualSpacing/>
        <w:jc w:val="both"/>
        <w:rPr>
          <w:rFonts w:eastAsia="Courier New" w:cstheme="minorHAnsi"/>
          <w:kern w:val="0"/>
          <w:lang w:eastAsia="ro-RO"/>
          <w14:ligatures w14:val="none"/>
        </w:rPr>
      </w:pPr>
      <w:r w:rsidRPr="009F08CA">
        <w:rPr>
          <w:rFonts w:eastAsia="Courier New" w:cstheme="minorHAnsi"/>
          <w:kern w:val="0"/>
          <w:lang w:eastAsia="ro-RO"/>
          <w14:ligatures w14:val="none"/>
        </w:rPr>
        <w:t>Beneficiarul se obligă să notifice AM PR Sud</w:t>
      </w:r>
      <w:r w:rsidR="003A5167" w:rsidRPr="009F08CA">
        <w:rPr>
          <w:rFonts w:eastAsia="Courier New" w:cstheme="minorHAnsi"/>
          <w:kern w:val="0"/>
          <w:lang w:eastAsia="ro-RO"/>
          <w14:ligatures w14:val="none"/>
        </w:rPr>
        <w:t>-</w:t>
      </w:r>
      <w:r w:rsidRPr="009F08CA">
        <w:rPr>
          <w:rFonts w:eastAsia="Courier New" w:cstheme="minorHAnsi"/>
          <w:kern w:val="0"/>
          <w:lang w:eastAsia="ro-RO"/>
          <w14:ligatures w14:val="none"/>
        </w:rPr>
        <w:t>Muntenia în privința tuturor modificărilor intervenite în tabelul nominal al proprietarilor și</w:t>
      </w:r>
    </w:p>
    <w:p w14:paraId="3C7142BB" w14:textId="0608422D" w:rsidR="00EC6455" w:rsidRPr="009F08CA" w:rsidRDefault="00EC6455" w:rsidP="00EC6455">
      <w:pPr>
        <w:pStyle w:val="ListParagraph"/>
        <w:numPr>
          <w:ilvl w:val="0"/>
          <w:numId w:val="8"/>
        </w:numPr>
        <w:spacing w:before="120"/>
        <w:contextualSpacing/>
        <w:jc w:val="both"/>
        <w:rPr>
          <w:rFonts w:eastAsia="Courier New" w:cstheme="minorHAnsi"/>
          <w:kern w:val="0"/>
          <w:lang w:eastAsia="ro-RO"/>
          <w14:ligatures w14:val="none"/>
        </w:rPr>
      </w:pPr>
      <w:r w:rsidRPr="009F08CA">
        <w:rPr>
          <w:rFonts w:eastAsia="Courier New" w:cstheme="minorHAnsi"/>
          <w:kern w:val="0"/>
          <w:lang w:eastAsia="ro-RO"/>
          <w14:ligatures w14:val="none"/>
        </w:rPr>
        <w:t>Beneficiarul se asigură ca modificările intervenite să nu aducă atingere condițiilor de eligibilitate prevăzute în G</w:t>
      </w:r>
      <w:r w:rsidR="003A5167" w:rsidRPr="009F08CA">
        <w:rPr>
          <w:rFonts w:eastAsia="Courier New" w:cstheme="minorHAnsi"/>
          <w:kern w:val="0"/>
          <w:lang w:eastAsia="ro-RO"/>
          <w14:ligatures w14:val="none"/>
        </w:rPr>
        <w:t>hidul Solicitantului</w:t>
      </w:r>
      <w:r w:rsidRPr="009F08CA">
        <w:rPr>
          <w:rFonts w:eastAsia="Courier New" w:cstheme="minorHAnsi"/>
          <w:kern w:val="0"/>
          <w:lang w:eastAsia="ro-RO"/>
          <w14:ligatures w14:val="none"/>
        </w:rPr>
        <w:t>.</w:t>
      </w:r>
    </w:p>
    <w:p w14:paraId="0DC77EB6" w14:textId="77777777" w:rsidR="003A5167" w:rsidRPr="00EC6455" w:rsidRDefault="003A5167" w:rsidP="003A5167">
      <w:pPr>
        <w:pStyle w:val="ListParagraph"/>
        <w:spacing w:before="120"/>
        <w:contextualSpacing/>
        <w:jc w:val="both"/>
        <w:rPr>
          <w:rFonts w:ascii="Trebuchet MS" w:hAnsi="Trebuchet MS"/>
          <w:sz w:val="20"/>
          <w:szCs w:val="20"/>
        </w:rPr>
      </w:pPr>
    </w:p>
    <w:p w14:paraId="32F03B90" w14:textId="77777777" w:rsidR="00EC6455" w:rsidRPr="009F08CA" w:rsidRDefault="00EC6455" w:rsidP="00EC6455">
      <w:pPr>
        <w:pStyle w:val="ListParagraph"/>
        <w:numPr>
          <w:ilvl w:val="0"/>
          <w:numId w:val="10"/>
        </w:numPr>
        <w:spacing w:before="120"/>
        <w:contextualSpacing/>
        <w:jc w:val="both"/>
        <w:rPr>
          <w:rFonts w:cstheme="minorHAnsi"/>
        </w:rPr>
      </w:pPr>
      <w:r w:rsidRPr="009F08CA">
        <w:rPr>
          <w:rFonts w:cstheme="minorHAnsi"/>
        </w:rPr>
        <w:t>Pe perioada în care este asigurat caracterul durabil, reglementat la art. 65 din Regulamentul (UE) 2021/1.060, cu modificările şi completările ulterioare, beneficiarul își asumă respectarea următoarelor obligații:</w:t>
      </w:r>
    </w:p>
    <w:p w14:paraId="4529D61C" w14:textId="0579DD93" w:rsidR="00EC6455" w:rsidRPr="009F08CA" w:rsidRDefault="00EC6455" w:rsidP="00EC6455">
      <w:pPr>
        <w:pStyle w:val="ListParagraph"/>
        <w:numPr>
          <w:ilvl w:val="0"/>
          <w:numId w:val="8"/>
        </w:numPr>
        <w:spacing w:before="120"/>
        <w:contextualSpacing/>
        <w:jc w:val="both"/>
        <w:rPr>
          <w:rFonts w:cstheme="minorHAnsi"/>
        </w:rPr>
      </w:pPr>
      <w:r w:rsidRPr="009F08CA">
        <w:rPr>
          <w:rFonts w:cstheme="minorHAnsi"/>
        </w:rPr>
        <w:lastRenderedPageBreak/>
        <w:t>să nu realizeze o modificare substanțială care afectează natura, obiectivele sau condițiile de realizare și care ar determina subminarea obiectivelor inițiale ale investiţiei.</w:t>
      </w:r>
    </w:p>
    <w:p w14:paraId="7107BEFE" w14:textId="0C89757F" w:rsidR="00EC6455" w:rsidRDefault="00EC6455" w:rsidP="00EC6455">
      <w:pPr>
        <w:pStyle w:val="ListParagraph"/>
        <w:numPr>
          <w:ilvl w:val="0"/>
          <w:numId w:val="8"/>
        </w:numPr>
        <w:spacing w:before="120"/>
        <w:contextualSpacing/>
        <w:jc w:val="both"/>
        <w:rPr>
          <w:rFonts w:cstheme="minorHAnsi"/>
        </w:rPr>
      </w:pPr>
      <w:r w:rsidRPr="009F08CA">
        <w:rPr>
          <w:rFonts w:cstheme="minorHAnsi"/>
        </w:rPr>
        <w:t>de a nu întreprinde nici o acţiune de natură a afecta condiţiile de construire/ exploatare asupra infrastructurii asupra căreia s-a intervenit în vederea eficientizării energetice până la finalizarea perioadei de durabilitate prevăzută la art. 2, alin. (5) din Condiţiile generale.</w:t>
      </w:r>
    </w:p>
    <w:p w14:paraId="63D8F203" w14:textId="77777777" w:rsidR="0050325C" w:rsidRPr="0050325C" w:rsidRDefault="0050325C" w:rsidP="0050325C">
      <w:pPr>
        <w:spacing w:before="120"/>
        <w:ind w:left="708"/>
        <w:contextualSpacing/>
        <w:jc w:val="both"/>
        <w:rPr>
          <w:rFonts w:cstheme="minorHAnsi"/>
        </w:rPr>
      </w:pPr>
    </w:p>
    <w:p w14:paraId="3FE02EEB" w14:textId="3BCC7AEE" w:rsidR="00EC6455" w:rsidRPr="00CB7EA5" w:rsidRDefault="00EC6455"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Pentru nerespectarea obligaţiilor prevăzute la alin (</w:t>
      </w:r>
      <w:r w:rsidR="00FC63A7" w:rsidRPr="00CB7EA5">
        <w:rPr>
          <w:rFonts w:eastAsia="Courier New" w:cstheme="minorHAnsi"/>
          <w:kern w:val="0"/>
          <w:lang w:eastAsia="ro-RO"/>
          <w14:ligatures w14:val="none"/>
        </w:rPr>
        <w:t>3</w:t>
      </w:r>
      <w:r w:rsidRPr="00CB7EA5">
        <w:rPr>
          <w:rFonts w:eastAsia="Courier New" w:cstheme="minorHAnsi"/>
          <w:kern w:val="0"/>
          <w:lang w:eastAsia="ro-RO"/>
          <w14:ligatures w14:val="none"/>
        </w:rPr>
        <w:t>), (</w:t>
      </w:r>
      <w:r w:rsidR="00FC63A7" w:rsidRPr="00CB7EA5">
        <w:rPr>
          <w:rFonts w:eastAsia="Courier New" w:cstheme="minorHAnsi"/>
          <w:kern w:val="0"/>
          <w:lang w:eastAsia="ro-RO"/>
          <w14:ligatures w14:val="none"/>
        </w:rPr>
        <w:t>4</w:t>
      </w:r>
      <w:r w:rsidRPr="00CB7EA5">
        <w:rPr>
          <w:rFonts w:eastAsia="Courier New" w:cstheme="minorHAnsi"/>
          <w:kern w:val="0"/>
          <w:lang w:eastAsia="ro-RO"/>
          <w14:ligatures w14:val="none"/>
        </w:rPr>
        <w:t>), AM PR Sud Muntenia poate dispune, după caz, rezilierea și recuperarea sumelor plătite, în conformitate cu prevederile contractului de finanțare</w:t>
      </w:r>
      <w:r w:rsidR="0050325C" w:rsidRPr="00CB7EA5">
        <w:rPr>
          <w:rFonts w:eastAsia="Courier New" w:cstheme="minorHAnsi"/>
          <w:kern w:val="0"/>
          <w:lang w:eastAsia="ro-RO"/>
          <w14:ligatures w14:val="none"/>
        </w:rPr>
        <w:t>.</w:t>
      </w:r>
    </w:p>
    <w:p w14:paraId="1F3E9607" w14:textId="77777777" w:rsidR="0050325C" w:rsidRPr="009F08CA" w:rsidRDefault="0050325C" w:rsidP="0050325C">
      <w:pPr>
        <w:pStyle w:val="ListParagraph"/>
        <w:spacing w:before="120"/>
        <w:ind w:left="786"/>
        <w:contextualSpacing/>
        <w:jc w:val="both"/>
        <w:rPr>
          <w:rFonts w:cstheme="minorHAnsi"/>
        </w:rPr>
      </w:pPr>
    </w:p>
    <w:p w14:paraId="4CE4D445" w14:textId="77777777" w:rsidR="00326341" w:rsidRPr="00CB7EA5" w:rsidRDefault="00326341"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Beneficiarul se va asigura ca la finalul implementării proiectului să fie respectate cerintele minime de performanță energetică a clădirilor impuse prin „Metodologia de calcul al performanței energetice a clădirilor, indicativ Mc 001-2022” (aprobată prin Ordinul MDLPA nr. 16/2023), inclusiv dispozițiile tranzitorii ale acestuia, dacă este cazul.</w:t>
      </w:r>
    </w:p>
    <w:p w14:paraId="461C5F46" w14:textId="77777777" w:rsidR="005663C0" w:rsidRPr="00CC0B02" w:rsidRDefault="005663C0" w:rsidP="005663C0">
      <w:pPr>
        <w:pStyle w:val="ListParagraph"/>
        <w:spacing w:before="120"/>
        <w:ind w:left="720"/>
        <w:contextualSpacing/>
        <w:jc w:val="both"/>
        <w:rPr>
          <w:rFonts w:ascii="Trebuchet MS" w:hAnsi="Trebuchet MS"/>
          <w:sz w:val="20"/>
          <w:szCs w:val="20"/>
        </w:rPr>
      </w:pPr>
    </w:p>
    <w:p w14:paraId="79FD5ADC" w14:textId="77777777" w:rsidR="005663C0" w:rsidRPr="00CB7EA5" w:rsidRDefault="00326341"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 xml:space="preserve">Beneficiarul se obligă să îndeplinească obligațiile asumate, în conformitate cu </w:t>
      </w:r>
      <w:r w:rsidR="005663C0" w:rsidRPr="00CB7EA5">
        <w:rPr>
          <w:rFonts w:eastAsia="Courier New" w:cstheme="minorHAnsi"/>
          <w:kern w:val="0"/>
          <w:lang w:eastAsia="ro-RO"/>
          <w14:ligatures w14:val="none"/>
        </w:rPr>
        <w:t>condiţiile de eligibilitate</w:t>
      </w:r>
      <w:r w:rsidRPr="00CB7EA5">
        <w:rPr>
          <w:rFonts w:eastAsia="Courier New" w:cstheme="minorHAnsi"/>
          <w:kern w:val="0"/>
          <w:lang w:eastAsia="ro-RO"/>
          <w14:ligatures w14:val="none"/>
        </w:rPr>
        <w:t>, privind reducerea consumului anual de energie primară și reducerea emisiilor de gaze cu efect de seră</w:t>
      </w:r>
      <w:r w:rsidR="005663C0" w:rsidRPr="00CB7EA5">
        <w:rPr>
          <w:rFonts w:eastAsia="Courier New" w:cstheme="minorHAnsi"/>
          <w:kern w:val="0"/>
          <w:lang w:eastAsia="ro-RO"/>
          <w14:ligatures w14:val="none"/>
        </w:rPr>
        <w:t>. Î</w:t>
      </w:r>
      <w:r w:rsidRPr="00CB7EA5">
        <w:rPr>
          <w:rFonts w:eastAsia="Courier New" w:cstheme="minorHAnsi"/>
          <w:kern w:val="0"/>
          <w:lang w:eastAsia="ro-RO"/>
          <w14:ligatures w14:val="none"/>
        </w:rPr>
        <w:t>n caz contrar, AMPRSM poate rezilia contractul de finanțare, iar finanțarea nerambursabilă acordată va fi recuperată în conformitate cu prevederile prezentului contract.</w:t>
      </w:r>
    </w:p>
    <w:p w14:paraId="2600C9A2" w14:textId="07ED2CCC" w:rsidR="00326341" w:rsidRPr="009F08CA" w:rsidRDefault="00326341" w:rsidP="009F08CA">
      <w:pPr>
        <w:pStyle w:val="ListParagraph"/>
        <w:spacing w:before="120"/>
        <w:ind w:left="786"/>
        <w:contextualSpacing/>
        <w:jc w:val="both"/>
        <w:rPr>
          <w:rFonts w:cstheme="minorHAnsi"/>
        </w:rPr>
      </w:pPr>
    </w:p>
    <w:p w14:paraId="31A82CBC" w14:textId="1EF6CB46" w:rsidR="00AA4C13" w:rsidRPr="00CB7EA5" w:rsidRDefault="00326341"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Beneficiarul are obligația ca la un an de la finalizarea proiectului să transmită Raportul de audit energetic/certificatul energetic din care să rezulte valoarea indicatorilor pentru anul ulterior investiției.</w:t>
      </w:r>
    </w:p>
    <w:p w14:paraId="7DE0BC63" w14:textId="77777777" w:rsidR="00AA4C13" w:rsidRPr="005663C0" w:rsidRDefault="00AA4C13" w:rsidP="00AA4C13">
      <w:pPr>
        <w:pStyle w:val="ListParagraph"/>
        <w:spacing w:before="120"/>
        <w:ind w:left="720"/>
        <w:contextualSpacing/>
        <w:jc w:val="both"/>
        <w:rPr>
          <w:rFonts w:ascii="Trebuchet MS" w:hAnsi="Trebuchet MS"/>
          <w:sz w:val="20"/>
          <w:szCs w:val="20"/>
        </w:rPr>
      </w:pPr>
    </w:p>
    <w:p w14:paraId="5EBC5EC9" w14:textId="1F687E18" w:rsidR="00326341" w:rsidRPr="00CB7EA5" w:rsidRDefault="00326341"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Beneficiarul are obligația ca</w:t>
      </w:r>
      <w:r w:rsidR="00AA4C13" w:rsidRPr="00CB7EA5">
        <w:rPr>
          <w:rFonts w:eastAsia="Courier New" w:cstheme="minorHAnsi"/>
          <w:kern w:val="0"/>
          <w:lang w:eastAsia="ro-RO"/>
          <w14:ligatures w14:val="none"/>
        </w:rPr>
        <w:t>,</w:t>
      </w:r>
      <w:r w:rsidRPr="00CB7EA5">
        <w:rPr>
          <w:rFonts w:eastAsia="Courier New" w:cstheme="minorHAnsi"/>
          <w:kern w:val="0"/>
          <w:lang w:eastAsia="ro-RO"/>
          <w14:ligatures w14:val="none"/>
        </w:rPr>
        <w:t xml:space="preserve">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 </w:t>
      </w:r>
    </w:p>
    <w:p w14:paraId="2CAC0A94" w14:textId="77777777" w:rsidR="00AA4C13" w:rsidRPr="00CC0B02" w:rsidRDefault="00AA4C13" w:rsidP="00AA4C13">
      <w:pPr>
        <w:pStyle w:val="ListParagraph"/>
        <w:spacing w:before="120"/>
        <w:ind w:left="720"/>
        <w:contextualSpacing/>
        <w:jc w:val="both"/>
        <w:rPr>
          <w:rFonts w:ascii="Trebuchet MS" w:hAnsi="Trebuchet MS"/>
          <w:sz w:val="20"/>
          <w:szCs w:val="20"/>
        </w:rPr>
      </w:pPr>
    </w:p>
    <w:p w14:paraId="5D756BD3" w14:textId="3E3D163F" w:rsidR="00365040" w:rsidRPr="00CB7EA5" w:rsidRDefault="004B48FC"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Beneficiarul se obligă să nu utilizeze obiectele/bunurile, fie ele mobile sau imobile,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34CA6340" w14:textId="77777777" w:rsidR="00B91C61" w:rsidRPr="00B91C61" w:rsidRDefault="00B91C61" w:rsidP="00B91C61">
      <w:pPr>
        <w:pStyle w:val="ListParagraph"/>
        <w:rPr>
          <w:rFonts w:ascii="Trebuchet MS" w:hAnsi="Trebuchet MS"/>
          <w:sz w:val="20"/>
          <w:szCs w:val="20"/>
        </w:rPr>
      </w:pPr>
    </w:p>
    <w:p w14:paraId="7D54AEFF" w14:textId="77777777" w:rsidR="00B91C61" w:rsidRPr="00AA4C13" w:rsidRDefault="00B91C61" w:rsidP="00B91C61">
      <w:pPr>
        <w:pStyle w:val="ListParagraph"/>
        <w:spacing w:before="120"/>
        <w:ind w:left="720"/>
        <w:contextualSpacing/>
        <w:jc w:val="both"/>
        <w:rPr>
          <w:rFonts w:ascii="Trebuchet MS" w:hAnsi="Trebuchet MS"/>
          <w:sz w:val="20"/>
          <w:szCs w:val="20"/>
        </w:rPr>
      </w:pPr>
    </w:p>
    <w:p w14:paraId="702B3DCE" w14:textId="77777777" w:rsidR="00B91C61" w:rsidRPr="00CB7EA5" w:rsidRDefault="00365040"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 xml:space="preserve">Beneficiarul se asigură ca utilizatorii să nu schimbe natura activităţii finanțate corespunzătoare destinației principale a clădirii (funcțiunea clădirii) pentru care s-a acordat finanţare, în condiţiile standardelor şi legislaţiei specifice aplicabile în vigoare, pe perioada de </w:t>
      </w:r>
      <w:r w:rsidRPr="00CB7EA5">
        <w:rPr>
          <w:rFonts w:eastAsia="Courier New" w:cstheme="minorHAnsi"/>
          <w:kern w:val="0"/>
          <w:lang w:eastAsia="ro-RO"/>
          <w14:ligatures w14:val="none"/>
        </w:rPr>
        <w:lastRenderedPageBreak/>
        <w:t>durabilitate a proiectului, astfel cum aceasta este identificată la prevăzută la art. 2, alin. (5) din Secțiunea Condiții generale.</w:t>
      </w:r>
    </w:p>
    <w:p w14:paraId="149C3A74" w14:textId="772C0E3D" w:rsidR="00365040" w:rsidRPr="00365040" w:rsidRDefault="00365040" w:rsidP="00B91C61">
      <w:pPr>
        <w:pStyle w:val="ListParagraph"/>
        <w:spacing w:before="120"/>
        <w:ind w:left="720"/>
        <w:contextualSpacing/>
        <w:jc w:val="both"/>
        <w:rPr>
          <w:rFonts w:ascii="Trebuchet MS" w:hAnsi="Trebuchet MS"/>
          <w:sz w:val="20"/>
          <w:szCs w:val="20"/>
        </w:rPr>
      </w:pPr>
      <w:r w:rsidRPr="00365040">
        <w:rPr>
          <w:rFonts w:ascii="Trebuchet MS" w:hAnsi="Trebuchet MS"/>
          <w:sz w:val="20"/>
          <w:szCs w:val="20"/>
        </w:rPr>
        <w:t xml:space="preserve"> </w:t>
      </w:r>
    </w:p>
    <w:p w14:paraId="124C8E11" w14:textId="59FA5764" w:rsidR="009F08CA" w:rsidRDefault="00365040"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Pentru nerespectarea obligaţiilor prevăzute la alin. (1</w:t>
      </w:r>
      <w:r w:rsidR="00B91C61" w:rsidRPr="00CB7EA5">
        <w:rPr>
          <w:rFonts w:eastAsia="Courier New" w:cstheme="minorHAnsi"/>
          <w:kern w:val="0"/>
          <w:lang w:eastAsia="ro-RO"/>
          <w14:ligatures w14:val="none"/>
        </w:rPr>
        <w:t>0</w:t>
      </w:r>
      <w:r w:rsidRPr="00CB7EA5">
        <w:rPr>
          <w:rFonts w:eastAsia="Courier New" w:cstheme="minorHAnsi"/>
          <w:kern w:val="0"/>
          <w:lang w:eastAsia="ro-RO"/>
          <w14:ligatures w14:val="none"/>
        </w:rPr>
        <w:t>),(1</w:t>
      </w:r>
      <w:r w:rsidR="00B91C61" w:rsidRPr="00CB7EA5">
        <w:rPr>
          <w:rFonts w:eastAsia="Courier New" w:cstheme="minorHAnsi"/>
          <w:kern w:val="0"/>
          <w:lang w:eastAsia="ro-RO"/>
          <w14:ligatures w14:val="none"/>
        </w:rPr>
        <w:t>1</w:t>
      </w:r>
      <w:r w:rsidRPr="00CB7EA5">
        <w:rPr>
          <w:rFonts w:eastAsia="Courier New" w:cstheme="minorHAnsi"/>
          <w:kern w:val="0"/>
          <w:lang w:eastAsia="ro-RO"/>
          <w14:ligatures w14:val="none"/>
        </w:rPr>
        <w:t xml:space="preserve">), AM PR Sud Muntenia poate dispune, după caz, rezilierea și recuperarea sumelor plătite, în conformitate cu prevederile prezentului contract. </w:t>
      </w:r>
    </w:p>
    <w:p w14:paraId="7A5526E8" w14:textId="77777777" w:rsidR="00CB7EA5" w:rsidRPr="00CB7EA5" w:rsidRDefault="00CB7EA5" w:rsidP="00CB7EA5">
      <w:pPr>
        <w:spacing w:before="120"/>
        <w:contextualSpacing/>
        <w:jc w:val="both"/>
        <w:rPr>
          <w:rFonts w:eastAsia="Courier New" w:cstheme="minorHAnsi"/>
          <w:kern w:val="0"/>
          <w:lang w:eastAsia="ro-RO"/>
          <w14:ligatures w14:val="none"/>
        </w:rPr>
      </w:pPr>
    </w:p>
    <w:p w14:paraId="14897AC3" w14:textId="649A9B34" w:rsidR="00B91C61" w:rsidRPr="00CB7EA5" w:rsidRDefault="00694D0D"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Prin excepție de la prevederile art. 3 din Contractul de finanţare – Condiţii Generale, având în vedere utilizarea eficientă a fondurilor publice, AM PRSM va proceda la dezangajarea fondurilor rămase neutilizate ca urmare a atribuirii contractelor de achiziţie de lucrări aferente investiției din contractul de finanțare</w:t>
      </w:r>
      <w:r w:rsidR="00684B0D" w:rsidRPr="00CB7EA5">
        <w:rPr>
          <w:rFonts w:eastAsia="Courier New" w:cstheme="minorHAnsi"/>
          <w:kern w:val="0"/>
          <w:lang w:eastAsia="ro-RO"/>
          <w14:ligatures w14:val="none"/>
        </w:rPr>
        <w:t>, conform legislaţiei aplicabile în vigoare.</w:t>
      </w:r>
    </w:p>
    <w:p w14:paraId="56AE1B64" w14:textId="77777777" w:rsidR="00B91C61" w:rsidRPr="009F08CA" w:rsidRDefault="00B91C61" w:rsidP="009F08CA">
      <w:pPr>
        <w:pStyle w:val="ListParagraph"/>
        <w:tabs>
          <w:tab w:val="left" w:pos="1134"/>
        </w:tabs>
        <w:spacing w:before="120"/>
        <w:ind w:left="786"/>
        <w:contextualSpacing/>
        <w:jc w:val="both"/>
        <w:rPr>
          <w:rFonts w:cstheme="minorHAnsi"/>
        </w:rPr>
      </w:pPr>
    </w:p>
    <w:p w14:paraId="22220BE3" w14:textId="666C5917" w:rsidR="009F08CA" w:rsidRPr="00CB7EA5" w:rsidRDefault="00694D0D"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Beneficiarul are obligația de a notifica AM PRSM, in termen de maxim 10 zile lucrătoare de la atribuirea contractului/contractelor de achiziție de lucrări</w:t>
      </w:r>
      <w:r w:rsidR="00F14888" w:rsidRPr="00CB7EA5">
        <w:rPr>
          <w:rFonts w:eastAsia="Courier New" w:cstheme="minorHAnsi"/>
          <w:kern w:val="0"/>
          <w:lang w:eastAsia="ro-RO"/>
          <w14:ligatures w14:val="none"/>
        </w:rPr>
        <w:t xml:space="preserve"> aferente investiției din contractul de finanțare</w:t>
      </w:r>
      <w:r w:rsidRPr="00CB7EA5">
        <w:rPr>
          <w:rFonts w:eastAsia="Courier New" w:cstheme="minorHAnsi"/>
          <w:kern w:val="0"/>
          <w:lang w:eastAsia="ro-RO"/>
          <w14:ligatures w14:val="none"/>
        </w:rPr>
        <w:t>, cu privire la suma cu care s-a/s-au atribuit respectivul contract/ respectivele contracte în vederea dezangajării fondurilor</w:t>
      </w:r>
      <w:r w:rsidR="009A3A71" w:rsidRPr="00CB7EA5">
        <w:rPr>
          <w:rFonts w:eastAsia="Courier New" w:cstheme="minorHAnsi"/>
          <w:kern w:val="0"/>
          <w:lang w:eastAsia="ro-RO"/>
          <w14:ligatures w14:val="none"/>
        </w:rPr>
        <w:t xml:space="preserve"> rămase neutilizate,</w:t>
      </w:r>
      <w:r w:rsidRPr="00CB7EA5">
        <w:rPr>
          <w:rFonts w:eastAsia="Courier New" w:cstheme="minorHAnsi"/>
          <w:kern w:val="0"/>
          <w:lang w:eastAsia="ro-RO"/>
          <w14:ligatures w14:val="none"/>
        </w:rPr>
        <w:t xml:space="preserve"> în conformitate cu prevederile prezentului contract de finanțare.</w:t>
      </w:r>
    </w:p>
    <w:p w14:paraId="4B73521D" w14:textId="77777777" w:rsidR="009F08CA" w:rsidRPr="009F08CA" w:rsidRDefault="009F08CA" w:rsidP="009F08CA">
      <w:pPr>
        <w:pStyle w:val="ListParagraph"/>
        <w:tabs>
          <w:tab w:val="left" w:pos="1134"/>
        </w:tabs>
        <w:spacing w:before="120"/>
        <w:ind w:left="786"/>
        <w:contextualSpacing/>
        <w:jc w:val="both"/>
        <w:rPr>
          <w:rFonts w:cstheme="minorHAnsi"/>
        </w:rPr>
      </w:pPr>
    </w:p>
    <w:p w14:paraId="424FA0F1" w14:textId="0260ABCB" w:rsidR="00694D0D" w:rsidRPr="00CB7EA5" w:rsidRDefault="00694D0D"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În termen de maxim</w:t>
      </w:r>
      <w:r w:rsidR="00C43ABA" w:rsidRPr="00CB7EA5">
        <w:rPr>
          <w:rFonts w:eastAsia="Courier New" w:cstheme="minorHAnsi"/>
          <w:kern w:val="0"/>
          <w:lang w:eastAsia="ro-RO"/>
          <w14:ligatures w14:val="none"/>
        </w:rPr>
        <w:t xml:space="preserve">um </w:t>
      </w:r>
      <w:r w:rsidRPr="00CB7EA5">
        <w:rPr>
          <w:rFonts w:eastAsia="Courier New" w:cstheme="minorHAnsi"/>
          <w:kern w:val="0"/>
          <w:lang w:eastAsia="ro-RO"/>
          <w14:ligatures w14:val="none"/>
        </w:rPr>
        <w:t>20 zile lucrătoare de la primirea notificării de la Beneficiar, AM PRSM dezangajează, prin notificarea unilaterală, fondurile rămase neutilizate ca urmare a atribuirii contractului/contractelor de achiziție de lucrări aferente investiției din cadrul prezentului contract de finanțare.</w:t>
      </w:r>
    </w:p>
    <w:p w14:paraId="78D86864" w14:textId="77777777" w:rsidR="00C43ABA" w:rsidRPr="00694D0D" w:rsidRDefault="00C43ABA" w:rsidP="00C43ABA">
      <w:pPr>
        <w:pStyle w:val="ListParagraph"/>
        <w:spacing w:before="120"/>
        <w:ind w:left="720"/>
        <w:contextualSpacing/>
        <w:jc w:val="both"/>
        <w:rPr>
          <w:rFonts w:ascii="Trebuchet MS" w:hAnsi="Trebuchet MS"/>
          <w:sz w:val="20"/>
          <w:szCs w:val="20"/>
        </w:rPr>
      </w:pPr>
    </w:p>
    <w:p w14:paraId="4CA51408" w14:textId="0903FCE9" w:rsidR="00C43ABA" w:rsidRPr="00CB7EA5" w:rsidRDefault="00694D0D"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Prin excepție de la prevederile art. 3 din Contractul de finanțare – Condiții Generale, având în vedere utilizarea eficientă a fondurilor publice, AM PRSM va proceda la dezangajarea fondurilor rămase neutilizate ca urmare a finalizării contractului/contractelor de achiziție din cadrul proiectului, în termen de 10 zile lucrătoare de la informarea de către beneficiar cu privire la sumele rămase neutilizate ca urmare a finalizării contractelor de achiziție și care nu vor face obiectul unor realocări în cadrul bugetului proiectului.</w:t>
      </w:r>
    </w:p>
    <w:p w14:paraId="56747478" w14:textId="77777777" w:rsidR="00C43ABA" w:rsidRPr="001113CB" w:rsidRDefault="00C43ABA" w:rsidP="001113CB">
      <w:pPr>
        <w:pStyle w:val="ListParagraph"/>
        <w:tabs>
          <w:tab w:val="left" w:pos="1134"/>
        </w:tabs>
        <w:spacing w:before="120"/>
        <w:ind w:left="786"/>
        <w:contextualSpacing/>
        <w:jc w:val="both"/>
        <w:rPr>
          <w:rFonts w:cstheme="minorHAnsi"/>
        </w:rPr>
      </w:pPr>
    </w:p>
    <w:p w14:paraId="4C4BCCD5" w14:textId="08269C96" w:rsidR="00C43ABA" w:rsidRDefault="00694D0D"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Beneficiarul are obligația de a notifica AM PRSM, in termen de maxim</w:t>
      </w:r>
      <w:r w:rsidR="00DC1766" w:rsidRPr="00CB7EA5">
        <w:rPr>
          <w:rFonts w:eastAsia="Courier New" w:cstheme="minorHAnsi"/>
          <w:kern w:val="0"/>
          <w:lang w:eastAsia="ro-RO"/>
          <w14:ligatures w14:val="none"/>
        </w:rPr>
        <w:t>um</w:t>
      </w:r>
      <w:r w:rsidRPr="00CB7EA5">
        <w:rPr>
          <w:rFonts w:eastAsia="Courier New" w:cstheme="minorHAnsi"/>
          <w:kern w:val="0"/>
          <w:lang w:eastAsia="ro-RO"/>
          <w14:ligatures w14:val="none"/>
        </w:rPr>
        <w:t xml:space="preserve"> 10 zile lucrătoare de la finalizarea contractului/contractelor de achiziție, din cadrul proiectului cu privire la sumele rămase neutilizate ca urmare a finalizării contractelor de achiziție și care nu vor face obiectul unor realocări în cadrul bugetului proiectului. </w:t>
      </w:r>
    </w:p>
    <w:p w14:paraId="4161EEF5" w14:textId="77777777" w:rsidR="00CB7EA5" w:rsidRPr="00CB7EA5" w:rsidRDefault="00CB7EA5" w:rsidP="00CB7EA5">
      <w:pPr>
        <w:pStyle w:val="ListParagraph"/>
        <w:rPr>
          <w:rFonts w:eastAsia="Courier New" w:cstheme="minorHAnsi"/>
          <w:kern w:val="0"/>
          <w:lang w:eastAsia="ro-RO"/>
          <w14:ligatures w14:val="none"/>
        </w:rPr>
      </w:pPr>
    </w:p>
    <w:p w14:paraId="7CBEDE45" w14:textId="77777777" w:rsidR="00CB7EA5" w:rsidRPr="00CB7EA5" w:rsidRDefault="00CB7EA5" w:rsidP="00CB7EA5">
      <w:pPr>
        <w:pStyle w:val="ListParagraph"/>
        <w:spacing w:before="120"/>
        <w:ind w:left="142"/>
        <w:contextualSpacing/>
        <w:jc w:val="both"/>
        <w:rPr>
          <w:rFonts w:eastAsia="Courier New" w:cstheme="minorHAnsi"/>
          <w:kern w:val="0"/>
          <w:lang w:eastAsia="ro-RO"/>
          <w14:ligatures w14:val="none"/>
        </w:rPr>
      </w:pPr>
    </w:p>
    <w:p w14:paraId="62942FD6" w14:textId="5D563170" w:rsidR="006D2EE4" w:rsidRPr="00CB7EA5" w:rsidRDefault="00694D0D" w:rsidP="00CB7EA5">
      <w:pPr>
        <w:pStyle w:val="ListParagraph"/>
        <w:numPr>
          <w:ilvl w:val="0"/>
          <w:numId w:val="10"/>
        </w:numPr>
        <w:spacing w:before="120"/>
        <w:ind w:left="142" w:hanging="77"/>
        <w:contextualSpacing/>
        <w:jc w:val="both"/>
        <w:rPr>
          <w:rFonts w:eastAsia="Courier New" w:cstheme="minorHAnsi"/>
          <w:kern w:val="0"/>
          <w:lang w:eastAsia="ro-RO"/>
          <w14:ligatures w14:val="none"/>
        </w:rPr>
      </w:pPr>
      <w:r w:rsidRPr="00CB7EA5">
        <w:rPr>
          <w:rFonts w:eastAsia="Courier New" w:cstheme="minorHAnsi"/>
          <w:kern w:val="0"/>
          <w:lang w:eastAsia="ro-RO"/>
          <w14:ligatures w14:val="none"/>
        </w:rPr>
        <w:t xml:space="preserve">Dezangajarea nu influențează în niciun fel obligațiile beneficiarilor de a implementa toate activitățile și de a obține toate rezultatele asumate prin Cererea de finanțare, </w:t>
      </w:r>
      <w:r w:rsidR="00756CF9" w:rsidRPr="00CB7EA5">
        <w:rPr>
          <w:rFonts w:eastAsia="Courier New" w:cstheme="minorHAnsi"/>
          <w:kern w:val="0"/>
          <w:lang w:eastAsia="ro-RO"/>
          <w14:ligatures w14:val="none"/>
        </w:rPr>
        <w:t>anexă a contractului de finanţare.</w:t>
      </w:r>
    </w:p>
    <w:p w14:paraId="03BE67AB" w14:textId="77777777" w:rsidR="006D2EE4" w:rsidRDefault="006D2EE4"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sectPr w:rsidR="006D2EE4" w:rsidSect="00A276F6">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D8145" w14:textId="77777777" w:rsidR="00A276F6" w:rsidRDefault="00A276F6" w:rsidP="00D81D9B">
      <w:pPr>
        <w:spacing w:after="0" w:line="240" w:lineRule="auto"/>
      </w:pPr>
      <w:r>
        <w:separator/>
      </w:r>
    </w:p>
  </w:endnote>
  <w:endnote w:type="continuationSeparator" w:id="0">
    <w:p w14:paraId="606A3D5D" w14:textId="77777777" w:rsidR="00A276F6" w:rsidRDefault="00A276F6"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745A" w14:textId="77777777" w:rsidR="00A276F6" w:rsidRDefault="00A276F6" w:rsidP="00D81D9B">
      <w:pPr>
        <w:spacing w:after="0" w:line="240" w:lineRule="auto"/>
      </w:pPr>
      <w:r>
        <w:separator/>
      </w:r>
    </w:p>
  </w:footnote>
  <w:footnote w:type="continuationSeparator" w:id="0">
    <w:p w14:paraId="4CF46D23" w14:textId="77777777" w:rsidR="00A276F6" w:rsidRDefault="00A276F6"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C8267F6"/>
    <w:multiLevelType w:val="hybridMultilevel"/>
    <w:tmpl w:val="E14CAF4E"/>
    <w:lvl w:ilvl="0" w:tplc="FFFFFFFF">
      <w:start w:val="1"/>
      <w:numFmt w:val="lowerLetter"/>
      <w:lvlText w:val="%1)"/>
      <w:lvlJc w:val="left"/>
      <w:pPr>
        <w:ind w:left="1440" w:hanging="360"/>
      </w:pPr>
      <w:rPr>
        <w:rFonts w:ascii="Montserrat" w:eastAsiaTheme="minorHAnsi" w:hAnsi="Montserrat" w:hint="default"/>
        <w:b w:val="0"/>
        <w:bCs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064235F"/>
    <w:multiLevelType w:val="hybridMultilevel"/>
    <w:tmpl w:val="51EE7520"/>
    <w:lvl w:ilvl="0" w:tplc="0809001B">
      <w:start w:val="1"/>
      <w:numFmt w:val="lowerRoman"/>
      <w:lvlText w:val="%1."/>
      <w:lvlJc w:val="righ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10" w15:restartNumberingAfterBreak="0">
    <w:nsid w:val="6E5B7805"/>
    <w:multiLevelType w:val="hybridMultilevel"/>
    <w:tmpl w:val="37C4A698"/>
    <w:lvl w:ilvl="0" w:tplc="FFFFFFFF">
      <w:start w:val="1"/>
      <w:numFmt w:val="lowerLetter"/>
      <w:lvlText w:val="%1)"/>
      <w:lvlJc w:val="left"/>
      <w:pPr>
        <w:ind w:left="4320" w:hanging="360"/>
      </w:pPr>
    </w:lvl>
    <w:lvl w:ilvl="1" w:tplc="FFFFFFFF">
      <w:start w:val="1"/>
      <w:numFmt w:val="lowerLetter"/>
      <w:lvlText w:val="%2)"/>
      <w:lvlJc w:val="left"/>
      <w:pPr>
        <w:ind w:left="4320" w:hanging="360"/>
      </w:pPr>
    </w:lvl>
    <w:lvl w:ilvl="2" w:tplc="FFFFFFFF">
      <w:start w:val="1"/>
      <w:numFmt w:val="lowerRoman"/>
      <w:lvlText w:val="%3."/>
      <w:lvlJc w:val="right"/>
      <w:pPr>
        <w:ind w:left="5760" w:hanging="180"/>
      </w:pPr>
    </w:lvl>
    <w:lvl w:ilvl="3" w:tplc="FFFFFFFF">
      <w:start w:val="1"/>
      <w:numFmt w:val="decimal"/>
      <w:lvlText w:val="%4."/>
      <w:lvlJc w:val="left"/>
      <w:pPr>
        <w:ind w:left="6480" w:hanging="360"/>
      </w:pPr>
    </w:lvl>
    <w:lvl w:ilvl="4" w:tplc="FFFFFFFF">
      <w:start w:val="1"/>
      <w:numFmt w:val="lowerLetter"/>
      <w:lvlText w:val="%5."/>
      <w:lvlJc w:val="left"/>
      <w:pPr>
        <w:ind w:left="7200" w:hanging="360"/>
      </w:pPr>
    </w:lvl>
    <w:lvl w:ilvl="5" w:tplc="FFFFFFFF">
      <w:start w:val="1"/>
      <w:numFmt w:val="lowerRoman"/>
      <w:lvlText w:val="%6."/>
      <w:lvlJc w:val="right"/>
      <w:pPr>
        <w:ind w:left="7920" w:hanging="180"/>
      </w:pPr>
    </w:lvl>
    <w:lvl w:ilvl="6" w:tplc="FFFFFFFF">
      <w:start w:val="1"/>
      <w:numFmt w:val="decimal"/>
      <w:lvlText w:val="%7."/>
      <w:lvlJc w:val="left"/>
      <w:pPr>
        <w:ind w:left="8640" w:hanging="360"/>
      </w:pPr>
    </w:lvl>
    <w:lvl w:ilvl="7" w:tplc="FFFFFFFF">
      <w:start w:val="1"/>
      <w:numFmt w:val="lowerLetter"/>
      <w:lvlText w:val="%8."/>
      <w:lvlJc w:val="left"/>
      <w:pPr>
        <w:ind w:left="9360" w:hanging="360"/>
      </w:pPr>
    </w:lvl>
    <w:lvl w:ilvl="8" w:tplc="FFFFFFFF">
      <w:start w:val="1"/>
      <w:numFmt w:val="lowerRoman"/>
      <w:lvlText w:val="%9."/>
      <w:lvlJc w:val="right"/>
      <w:pPr>
        <w:ind w:left="10080" w:hanging="180"/>
      </w:pPr>
    </w:lvl>
  </w:abstractNum>
  <w:abstractNum w:abstractNumId="11" w15:restartNumberingAfterBreak="0">
    <w:nsid w:val="6FCF1DFF"/>
    <w:multiLevelType w:val="hybridMultilevel"/>
    <w:tmpl w:val="054C90F4"/>
    <w:lvl w:ilvl="0" w:tplc="1944B2AC">
      <w:start w:val="1"/>
      <w:numFmt w:val="decimal"/>
      <w:lvlText w:val="(%1)"/>
      <w:lvlJc w:val="left"/>
      <w:pPr>
        <w:ind w:left="786"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71A648C3"/>
    <w:multiLevelType w:val="hybridMultilevel"/>
    <w:tmpl w:val="CCB4A2D0"/>
    <w:lvl w:ilvl="0" w:tplc="BD167CA2">
      <w:start w:val="1"/>
      <w:numFmt w:val="lowerRoman"/>
      <w:lvlText w:val="%1)"/>
      <w:lvlJc w:val="left"/>
      <w:pPr>
        <w:ind w:left="720" w:hanging="360"/>
      </w:pPr>
      <w:rPr>
        <w:color w:val="27344C"/>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6"/>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17922824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8937061">
    <w:abstractNumId w:val="11"/>
  </w:num>
  <w:num w:numId="11" w16cid:durableId="14260724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4339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67478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72390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52C3"/>
    <w:rsid w:val="00032AF9"/>
    <w:rsid w:val="000D7F0F"/>
    <w:rsid w:val="001113CB"/>
    <w:rsid w:val="00125AE6"/>
    <w:rsid w:val="0017325D"/>
    <w:rsid w:val="001A1838"/>
    <w:rsid w:val="001D3E8D"/>
    <w:rsid w:val="00285C2F"/>
    <w:rsid w:val="002D6B13"/>
    <w:rsid w:val="00326341"/>
    <w:rsid w:val="00365040"/>
    <w:rsid w:val="003A5167"/>
    <w:rsid w:val="003B1269"/>
    <w:rsid w:val="003C590E"/>
    <w:rsid w:val="004669BD"/>
    <w:rsid w:val="00471355"/>
    <w:rsid w:val="004B48FC"/>
    <w:rsid w:val="004F77CD"/>
    <w:rsid w:val="0050325C"/>
    <w:rsid w:val="00546A39"/>
    <w:rsid w:val="005663C0"/>
    <w:rsid w:val="00595242"/>
    <w:rsid w:val="005B2181"/>
    <w:rsid w:val="005F14FC"/>
    <w:rsid w:val="00677B99"/>
    <w:rsid w:val="00684B0D"/>
    <w:rsid w:val="00694D0D"/>
    <w:rsid w:val="00696C55"/>
    <w:rsid w:val="006D2EE4"/>
    <w:rsid w:val="006E725B"/>
    <w:rsid w:val="00753F67"/>
    <w:rsid w:val="00756CF9"/>
    <w:rsid w:val="007646FD"/>
    <w:rsid w:val="007F5DEE"/>
    <w:rsid w:val="008F569D"/>
    <w:rsid w:val="00926263"/>
    <w:rsid w:val="009A3A71"/>
    <w:rsid w:val="009A6D0C"/>
    <w:rsid w:val="009F08CA"/>
    <w:rsid w:val="009F5726"/>
    <w:rsid w:val="00A276F6"/>
    <w:rsid w:val="00A469D7"/>
    <w:rsid w:val="00A97982"/>
    <w:rsid w:val="00AA3AF9"/>
    <w:rsid w:val="00AA4C13"/>
    <w:rsid w:val="00B3290C"/>
    <w:rsid w:val="00B4258F"/>
    <w:rsid w:val="00B42E53"/>
    <w:rsid w:val="00B91C61"/>
    <w:rsid w:val="00BA5D28"/>
    <w:rsid w:val="00BB5C70"/>
    <w:rsid w:val="00C43ABA"/>
    <w:rsid w:val="00CB7EA5"/>
    <w:rsid w:val="00CC0B02"/>
    <w:rsid w:val="00D81D9B"/>
    <w:rsid w:val="00DC1766"/>
    <w:rsid w:val="00EC6455"/>
    <w:rsid w:val="00F14888"/>
    <w:rsid w:val="00F24EF4"/>
    <w:rsid w:val="00F41B22"/>
    <w:rsid w:val="00F5380A"/>
    <w:rsid w:val="00F675AA"/>
    <w:rsid w:val="00FC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6D2EE4"/>
    <w:rPr>
      <w:sz w:val="24"/>
      <w:szCs w:val="24"/>
      <w:lang w:val="ro-RO"/>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6D2EE4"/>
    <w:pPr>
      <w:spacing w:after="0" w:line="240" w:lineRule="auto"/>
      <w:ind w:left="708"/>
    </w:pPr>
    <w:rPr>
      <w:sz w:val="24"/>
      <w:szCs w:val="24"/>
      <w:lang w:val="ro-RO"/>
    </w:rPr>
  </w:style>
  <w:style w:type="paragraph" w:customStyle="1" w:styleId="xl61">
    <w:name w:val="xl61"/>
    <w:basedOn w:val="Normal"/>
    <w:rsid w:val="005B2181"/>
    <w:pPr>
      <w:pBdr>
        <w:left w:val="single" w:sz="8" w:space="0" w:color="auto"/>
      </w:pBdr>
      <w:spacing w:before="100" w:beforeAutospacing="1" w:after="100" w:afterAutospacing="1" w:line="240" w:lineRule="auto"/>
      <w:jc w:val="both"/>
    </w:pPr>
    <w:rPr>
      <w:rFonts w:ascii="Arial" w:eastAsia="Times New Roman" w:hAnsi="Arial" w:cs="Arial"/>
      <w:kern w:val="0"/>
      <w:sz w:val="20"/>
      <w:szCs w:val="20"/>
      <w:lang w:val="ro-RO" w:eastAsia="fr-FR"/>
      <w14:ligatures w14:val="none"/>
    </w:rPr>
  </w:style>
  <w:style w:type="character" w:customStyle="1" w:styleId="apple-converted-space">
    <w:name w:val="apple-converted-space"/>
    <w:basedOn w:val="DefaultParagraphFont"/>
    <w:rsid w:val="00EC64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045746">
      <w:bodyDiv w:val="1"/>
      <w:marLeft w:val="0"/>
      <w:marRight w:val="0"/>
      <w:marTop w:val="0"/>
      <w:marBottom w:val="0"/>
      <w:divBdr>
        <w:top w:val="none" w:sz="0" w:space="0" w:color="auto"/>
        <w:left w:val="none" w:sz="0" w:space="0" w:color="auto"/>
        <w:bottom w:val="none" w:sz="0" w:space="0" w:color="auto"/>
        <w:right w:val="none" w:sz="0" w:space="0" w:color="auto"/>
      </w:divBdr>
    </w:div>
    <w:div w:id="794250253">
      <w:bodyDiv w:val="1"/>
      <w:marLeft w:val="0"/>
      <w:marRight w:val="0"/>
      <w:marTop w:val="0"/>
      <w:marBottom w:val="0"/>
      <w:divBdr>
        <w:top w:val="none" w:sz="0" w:space="0" w:color="auto"/>
        <w:left w:val="none" w:sz="0" w:space="0" w:color="auto"/>
        <w:bottom w:val="none" w:sz="0" w:space="0" w:color="auto"/>
        <w:right w:val="none" w:sz="0" w:space="0" w:color="auto"/>
      </w:divBdr>
    </w:div>
    <w:div w:id="1478188293">
      <w:bodyDiv w:val="1"/>
      <w:marLeft w:val="0"/>
      <w:marRight w:val="0"/>
      <w:marTop w:val="0"/>
      <w:marBottom w:val="0"/>
      <w:divBdr>
        <w:top w:val="none" w:sz="0" w:space="0" w:color="auto"/>
        <w:left w:val="none" w:sz="0" w:space="0" w:color="auto"/>
        <w:bottom w:val="none" w:sz="0" w:space="0" w:color="auto"/>
        <w:right w:val="none" w:sz="0" w:space="0" w:color="auto"/>
      </w:divBdr>
    </w:div>
    <w:div w:id="1491944273">
      <w:bodyDiv w:val="1"/>
      <w:marLeft w:val="0"/>
      <w:marRight w:val="0"/>
      <w:marTop w:val="0"/>
      <w:marBottom w:val="0"/>
      <w:divBdr>
        <w:top w:val="none" w:sz="0" w:space="0" w:color="auto"/>
        <w:left w:val="none" w:sz="0" w:space="0" w:color="auto"/>
        <w:bottom w:val="none" w:sz="0" w:space="0" w:color="auto"/>
        <w:right w:val="none" w:sz="0" w:space="0" w:color="auto"/>
      </w:divBdr>
    </w:div>
    <w:div w:id="1542131178">
      <w:bodyDiv w:val="1"/>
      <w:marLeft w:val="0"/>
      <w:marRight w:val="0"/>
      <w:marTop w:val="0"/>
      <w:marBottom w:val="0"/>
      <w:divBdr>
        <w:top w:val="none" w:sz="0" w:space="0" w:color="auto"/>
        <w:left w:val="none" w:sz="0" w:space="0" w:color="auto"/>
        <w:bottom w:val="none" w:sz="0" w:space="0" w:color="auto"/>
        <w:right w:val="none" w:sz="0" w:space="0" w:color="auto"/>
      </w:divBdr>
    </w:div>
    <w:div w:id="168651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5347</Words>
  <Characters>30483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Silviu Stan</cp:lastModifiedBy>
  <cp:revision>2</cp:revision>
  <dcterms:created xsi:type="dcterms:W3CDTF">2024-03-14T18:18:00Z</dcterms:created>
  <dcterms:modified xsi:type="dcterms:W3CDTF">2024-03-14T18:18:00Z</dcterms:modified>
</cp:coreProperties>
</file>